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Курской области от 11.06.2025 N 32-ЗКО</w:t>
              <w:br/>
              <w:t xml:space="preserve">"О креативных (творческих) индустриях в Курской области"</w:t>
              <w:br/>
              <w:t xml:space="preserve">(принят Курской областной Думой 10.06.2025)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01.09.2026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11 июня 2025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32-ЗКО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КУРСКАЯ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КРЕАТИВНЫХ (ТВОРЧЕСКИХ) ИНДУСТРИЯХ В КУРСКОЙ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Курской областной Думой</w:t>
      </w:r>
    </w:p>
    <w:p>
      <w:pPr>
        <w:pStyle w:val="0"/>
        <w:jc w:val="right"/>
      </w:pPr>
      <w:r>
        <w:rPr>
          <w:sz w:val="20"/>
        </w:rPr>
        <w:t xml:space="preserve">10 июня 2025 года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 соответствии с Федеральным </w:t>
      </w:r>
      <w:hyperlink w:history="0" r:id="rId8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8 августа 2024 года N 330-ФЗ "О развитии креативных (творческих) индустрий в Российской Федерации" (далее - Федеральный закон "О развитии креативных (творческих) индустрий в Российской Федерации") разграничивает полномочия между органами государственной власти Курской области и регулирует отдельные вопросы в сфере креативных (творческих) индустрий (далее - креативные индустрии) в Курской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Полномочия Курской областной Думы в сфере креативных индустрий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Курской областной Думы в сфере креативных индустрий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законов Курской области и осуществление контроля за их соблюдением и исполнением;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иных полномочий, предусмотренных федеральным законодательством и законодательством Курской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Полномочия Правительства Курской области в сфере креативных индустрий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Правительства Курской области в сфере креативных индустрий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установление порядка формирования и ведения реестра субъектов креативных индустрий, осуществляющих деятельность в Курской области, в том числе порядка включения в такой реестр и исключения из него сведений о субъектах креативных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установление критериев отнесения физических лиц, юридических лиц и индивидуальных предпринимателей к субъектам креативных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установление порядка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 правовым актом Правительства Курской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установление критериев определения приоритетных креативных индустрий в Курской области и на основании данных критериев формирование перечня приоритетных креативных индустрий в Курской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установление порядка размещения сведений об инфраструктуре поддержки креативных индустрий в Курской области на официальном сайте Губернатора и Правительства Курской области в информационно-телекоммуникационной сети "Интернет", в том числе утверждение состава таких сведений, с учетом типового состава сведений об инфраструктуре поддержки креативных индустрий в субъектах Российской Федерации, утвержденного в соответствии с </w:t>
      </w:r>
      <w:hyperlink w:history="0" r:id="rId9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пунктом 4 части 2 статьи 4</w:t>
        </w:r>
      </w:hyperlink>
      <w:r>
        <w:rPr>
          <w:sz w:val="20"/>
        </w:rPr>
        <w:t xml:space="preserve"> Федерального закона "О развитии креативных (творческих) индустрий в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установление порядка размещения информации, указанной в </w:t>
      </w:r>
      <w:hyperlink w:history="0" r:id="rId10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части 2 статьи 14</w:t>
        </w:r>
      </w:hyperlink>
      <w:r>
        <w:rPr>
          <w:sz w:val="20"/>
        </w:rPr>
        <w:t xml:space="preserve"> Федерального закона "О развитии креативных (творческих) индустрий в Российской Федерации", на официальном сайте Губернатора и Правительства Курской области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определение имущества Курской области, относящегося к инфраструктуре поддержки креативных индустрий в Курской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определение имущества Курской области, используемого при формировании креативного кластера в Курской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9) осуществление иных полномочий в сфере креативных индустрий в соответствии с законодательством Российской Федерации и законодательством Курской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уполномоченного исполнительного органа Курской области в сфере креативных индустрий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полномочиям уполномоченного исполнительного органа Курской области в сфере креативных индустрий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осуществление подтверждения соответствия физических лиц, юридических лиц и индивидуальных предпринимателей критериям отнесения к субъектам креативных индустрий, установленным нормативным правовым актом Правительства Курской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формирование и ведение реестра субъектов креативных индустрий, осуществляющих деятельность в Курской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осуществление подтверждения соответствия территории критериям признания территории креативным кластером в порядке, установленном в соответствии с </w:t>
      </w:r>
      <w:hyperlink w:history="0" r:id="rId11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пунктом 3 части 1 статьи 4</w:t>
        </w:r>
      </w:hyperlink>
      <w:r>
        <w:rPr>
          <w:sz w:val="20"/>
        </w:rPr>
        <w:t xml:space="preserve"> Федерального закона "О развитии креативных (творческих) индустрий в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размещение сведений об инфраструктуре поддержки креативных индустрий в Курской области на официальном сайте Губернатора и Правительства Курской области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размещение информации, указанной в </w:t>
      </w:r>
      <w:hyperlink w:history="0" r:id="rId12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части 2 статьи 14</w:t>
        </w:r>
      </w:hyperlink>
      <w:r>
        <w:rPr>
          <w:sz w:val="20"/>
        </w:rPr>
        <w:t xml:space="preserve"> Федерального закона "О развитии креативных (творческих) индустрий в Российской Федерации", на официальном сайте Губернатора и Правительства Курской области в информационно-телекоммуникационной сети "Интернет";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направление сведений об инфраструктуре поддержки креативных индустрий в Курской области в федеральный орган исполнительной власти, уполномоченный на осуществление функций по выработке государственной политики и нормативно-правовому регулированию в сфере креативной экономики, в порядке, установленном в соответствии с </w:t>
      </w:r>
      <w:hyperlink w:history="0" r:id="rId13" w:tooltip="Федеральный закон от 08.08.2024 N 330-ФЗ &quot;О развитии креативных (творческих) индустрий в Российской Федерации&quot; {КонсультантПлюс}">
        <w:r>
          <w:rPr>
            <w:sz w:val="20"/>
            <w:color w:val="0000ff"/>
          </w:rPr>
          <w:t xml:space="preserve">пунктом 2 части 2 статьи 4</w:t>
        </w:r>
      </w:hyperlink>
      <w:r>
        <w:rPr>
          <w:sz w:val="20"/>
        </w:rPr>
        <w:t xml:space="preserve"> Федерального закона "О развитии креативных (творческих) индустрий в Российской Федерации";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7) формирование консультационных и (или) экспертных органов и создание организаций для реализации полномочий в сфере креативных индустрий;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8) осуществление иных полномочий в сфере креативных индустрий в соответствии с законодательством Российской Федерации и законодательством Курской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Государственная поддержка в сфере креативных индустрий в Курской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Государственная поддержка в сфере креативных индустрий в Курской области предоставляется путем оказания финансовой, имущественной, образовательной, информационной и иной поддержки субъектам креативных индустрий в соответствии с законодательством Российской Федерации и законодательством Курской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Финансирование расходов, связанных с реализацией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Финансирование расходов, связанных с реализацией настоящего Закона, осуществляется за счет средств областного бюджета.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Временно исполняющий</w:t>
      </w:r>
    </w:p>
    <w:p>
      <w:pPr>
        <w:pStyle w:val="0"/>
        <w:jc w:val="right"/>
      </w:pPr>
      <w:r>
        <w:rPr>
          <w:sz w:val="20"/>
        </w:rPr>
        <w:t xml:space="preserve">обязанности Губернатора</w:t>
      </w:r>
    </w:p>
    <w:p>
      <w:pPr>
        <w:pStyle w:val="0"/>
        <w:jc w:val="right"/>
      </w:pPr>
      <w:r>
        <w:rPr>
          <w:sz w:val="20"/>
        </w:rPr>
        <w:t xml:space="preserve">Курской области</w:t>
      </w:r>
    </w:p>
    <w:p>
      <w:pPr>
        <w:pStyle w:val="0"/>
        <w:jc w:val="right"/>
      </w:pPr>
      <w:r>
        <w:rPr>
          <w:sz w:val="20"/>
        </w:rPr>
        <w:t xml:space="preserve">А.Е.ХИНШТЕЙН</w:t>
      </w:r>
    </w:p>
    <w:p>
      <w:pPr>
        <w:pStyle w:val="0"/>
      </w:pPr>
      <w:r>
        <w:rPr>
          <w:sz w:val="20"/>
        </w:rPr>
        <w:t xml:space="preserve">г. Курск</w:t>
      </w:r>
    </w:p>
    <w:p>
      <w:pPr>
        <w:pStyle w:val="0"/>
        <w:spacing w:before="200" w:lineRule="auto"/>
      </w:pPr>
      <w:r>
        <w:rPr>
          <w:sz w:val="20"/>
        </w:rPr>
        <w:t xml:space="preserve">11 июня 2025 года</w:t>
      </w:r>
    </w:p>
    <w:p>
      <w:pPr>
        <w:pStyle w:val="0"/>
        <w:spacing w:before="200" w:lineRule="auto"/>
      </w:pPr>
      <w:r>
        <w:rPr>
          <w:sz w:val="20"/>
        </w:rPr>
        <w:t xml:space="preserve">N 32 - ЗКО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Курской области от 11.06.2025 N 32-ЗКО</w:t>
            <w:br/>
            <w:t>"О креативных (творческих) индустриях в Курской области"</w:t>
            <w:br/>
            <w:t>(принят Курской об...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482580&amp;dst=100019" TargetMode = "External"/><Relationship Id="rId9" Type="http://schemas.openxmlformats.org/officeDocument/2006/relationships/hyperlink" Target="https://login.consultant.ru/link/?req=doc&amp;base=RZR&amp;n=482580&amp;dst=100038" TargetMode = "External"/><Relationship Id="rId10" Type="http://schemas.openxmlformats.org/officeDocument/2006/relationships/hyperlink" Target="https://login.consultant.ru/link/?req=doc&amp;base=RZR&amp;n=482580&amp;dst=100106" TargetMode = "External"/><Relationship Id="rId11" Type="http://schemas.openxmlformats.org/officeDocument/2006/relationships/hyperlink" Target="https://login.consultant.ru/link/?req=doc&amp;base=RZR&amp;n=482580&amp;dst=100032" TargetMode = "External"/><Relationship Id="rId12" Type="http://schemas.openxmlformats.org/officeDocument/2006/relationships/hyperlink" Target="https://login.consultant.ru/link/?req=doc&amp;base=RZR&amp;n=482580&amp;dst=100106" TargetMode = "External"/><Relationship Id="rId13" Type="http://schemas.openxmlformats.org/officeDocument/2006/relationships/hyperlink" Target="https://login.consultant.ru/link/?req=doc&amp;base=RZR&amp;n=482580&amp;dst=10003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4026.00.32</Application>
  <Company>КонсультантПлюс Версия 4026.00.32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Курской области от 11.06.2025 N 32-ЗКО
"О креативных (творческих) индустриях в Курской области"
(принят Курской областной Думой 10.06.2025)</dc:title>
  <dcterms:created xsi:type="dcterms:W3CDTF">2026-09-01T11:19:31Z</dcterms:created>
</cp:coreProperties>
</file>